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在编人员自愿</w:t>
      </w:r>
      <w:r>
        <w:rPr>
          <w:rFonts w:hint="eastAsia" w:ascii="方正小标宋简体" w:hAnsi="仿宋" w:eastAsia="方正小标宋简体"/>
          <w:sz w:val="44"/>
          <w:szCs w:val="44"/>
        </w:rPr>
        <w:t>申报</w:t>
      </w:r>
    </w:p>
    <w:p>
      <w:pPr>
        <w:widowControl w:val="0"/>
        <w:spacing w:after="0"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副高级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及</w:t>
      </w:r>
      <w:r>
        <w:rPr>
          <w:rFonts w:hint="eastAsia" w:ascii="方正小标宋简体" w:hAnsi="仿宋" w:eastAsia="方正小标宋简体"/>
          <w:sz w:val="44"/>
          <w:szCs w:val="44"/>
        </w:rPr>
        <w:t>以下专业技术职务同级改职的通知</w:t>
      </w:r>
    </w:p>
    <w:p>
      <w:pPr>
        <w:widowControl w:val="0"/>
        <w:spacing w:after="0" w:line="480" w:lineRule="exact"/>
        <w:contextualSpacing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各部门、系：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5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/>
          <w:sz w:val="32"/>
          <w:szCs w:val="32"/>
        </w:rPr>
        <w:t>《关于印发&lt;黑龙江省深化技工院校教师职称制度改革实施方案&gt;和&lt;黑龙江省技工教师系列初、中级专业技术职务聘任条件和中、高级专业技术职务任职资格评审标准（试行）＞的通知》（黑人社规〔2018〕11号）及《关于做好哈尔滨市2018年度职称评审工作的通知》（哈人社发〔2018〕156号）文件精神，</w:t>
      </w:r>
      <w:r>
        <w:rPr>
          <w:rFonts w:hint="eastAsia" w:ascii="仿宋" w:hAnsi="仿宋" w:eastAsia="仿宋"/>
          <w:sz w:val="32"/>
          <w:szCs w:val="32"/>
          <w:lang w:eastAsia="zh-CN"/>
        </w:rPr>
        <w:t>经</w:t>
      </w:r>
      <w:r>
        <w:rPr>
          <w:rFonts w:hint="eastAsia" w:ascii="仿宋" w:hAnsi="仿宋" w:eastAsia="仿宋"/>
          <w:sz w:val="32"/>
          <w:szCs w:val="32"/>
        </w:rPr>
        <w:t>学院研究决定，自即日起开展在编人员</w:t>
      </w:r>
      <w:r>
        <w:rPr>
          <w:rFonts w:hint="eastAsia" w:ascii="仿宋" w:hAnsi="仿宋" w:eastAsia="仿宋"/>
          <w:sz w:val="32"/>
          <w:szCs w:val="32"/>
          <w:lang w:eastAsia="zh-CN"/>
        </w:rPr>
        <w:t>自愿申报副高级及以下</w:t>
      </w:r>
      <w:r>
        <w:rPr>
          <w:rFonts w:hint="eastAsia" w:ascii="仿宋" w:hAnsi="仿宋" w:eastAsia="仿宋"/>
          <w:sz w:val="32"/>
          <w:szCs w:val="32"/>
        </w:rPr>
        <w:t>专业技术职务同级改职申报工作。为做好此项工作，现将有关事宜通知如下：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一、同级</w:t>
      </w:r>
      <w:r>
        <w:rPr>
          <w:rFonts w:hint="eastAsia" w:ascii="黑体" w:hAnsi="黑体" w:eastAsia="黑体"/>
          <w:sz w:val="32"/>
          <w:szCs w:val="32"/>
        </w:rPr>
        <w:t>改职</w:t>
      </w:r>
      <w:r>
        <w:rPr>
          <w:rFonts w:hint="eastAsia" w:ascii="黑体" w:hAnsi="黑体" w:eastAsia="黑体"/>
          <w:sz w:val="32"/>
          <w:szCs w:val="32"/>
          <w:lang w:eastAsia="zh-CN"/>
        </w:rPr>
        <w:t>申报要求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（一）现职称系列不是技工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</w:rPr>
        <w:t>教</w:t>
      </w:r>
      <w:r>
        <w:rPr>
          <w:rFonts w:hint="eastAsia" w:ascii="仿宋" w:hAnsi="仿宋" w:eastAsia="仿宋"/>
          <w:sz w:val="32"/>
          <w:szCs w:val="32"/>
          <w:lang w:eastAsia="zh-CN"/>
        </w:rPr>
        <w:t>师</w:t>
      </w:r>
      <w:r>
        <w:rPr>
          <w:rFonts w:hint="eastAsia" w:ascii="仿宋" w:hAnsi="仿宋" w:eastAsia="仿宋"/>
          <w:sz w:val="32"/>
          <w:szCs w:val="32"/>
        </w:rPr>
        <w:t>系列的；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Arial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sz w:val="32"/>
          <w:szCs w:val="32"/>
        </w:rPr>
        <w:t>（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Arial"/>
          <w:sz w:val="32"/>
          <w:szCs w:val="32"/>
        </w:rPr>
        <w:t>）现有专业技术职务</w:t>
      </w:r>
      <w:r>
        <w:fldChar w:fldCharType="begin"/>
      </w:r>
      <w:r>
        <w:instrText xml:space="preserve"> HYPERLINK "http://www.baidu.com/s?wd=%E4%BB%BB%E8%81%8C%E8%B5%84%E6%A0%BC&amp;tn=SE_PcZhidaonwhc_ngpagmjz&amp;rsv_dl=gh_pc_zhidao" \t "_blank" </w:instrText>
      </w:r>
      <w:r>
        <w:fldChar w:fldCharType="separate"/>
      </w:r>
      <w:r>
        <w:rPr>
          <w:rStyle w:val="6"/>
          <w:rFonts w:hint="eastAsia" w:ascii="仿宋" w:hAnsi="仿宋" w:eastAsia="仿宋" w:cs="Arial"/>
          <w:color w:val="auto"/>
          <w:sz w:val="32"/>
          <w:szCs w:val="32"/>
        </w:rPr>
        <w:t>任职资格</w:t>
      </w:r>
      <w:r>
        <w:rPr>
          <w:rStyle w:val="6"/>
          <w:rFonts w:hint="eastAsia" w:ascii="仿宋" w:hAnsi="仿宋" w:eastAsia="仿宋" w:cs="Arial"/>
          <w:color w:val="auto"/>
          <w:sz w:val="32"/>
          <w:szCs w:val="32"/>
        </w:rPr>
        <w:fldChar w:fldCharType="end"/>
      </w:r>
      <w:r>
        <w:rPr>
          <w:rFonts w:hint="eastAsia" w:ascii="仿宋" w:hAnsi="仿宋" w:eastAsia="仿宋" w:cs="Arial"/>
          <w:sz w:val="32"/>
          <w:szCs w:val="32"/>
        </w:rPr>
        <w:t>与现岗位不相符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Arial"/>
          <w:sz w:val="32"/>
          <w:szCs w:val="32"/>
        </w:rPr>
        <w:t>工作岗位发生了变化，到新的岗位履行相应职责满一年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Arial"/>
          <w:sz w:val="32"/>
          <w:szCs w:val="32"/>
        </w:rPr>
        <w:br w:type="textWrapping"/>
      </w:r>
      <w:r>
        <w:rPr>
          <w:rFonts w:hint="eastAsia" w:ascii="仿宋" w:hAnsi="仿宋" w:eastAsia="仿宋" w:cs="Arial"/>
          <w:sz w:val="32"/>
          <w:szCs w:val="32"/>
        </w:rPr>
        <w:t xml:space="preserve">    </w:t>
      </w:r>
      <w:r>
        <w:rPr>
          <w:rFonts w:hint="eastAsia" w:ascii="黑体" w:hAnsi="黑体" w:eastAsia="黑体" w:cs="Arial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</w:rPr>
        <w:t>申报</w:t>
      </w:r>
      <w:r>
        <w:rPr>
          <w:rFonts w:hint="eastAsia" w:ascii="黑体" w:hAnsi="黑体" w:eastAsia="黑体"/>
          <w:sz w:val="32"/>
          <w:szCs w:val="32"/>
          <w:lang w:eastAsia="zh-CN"/>
        </w:rPr>
        <w:t>评审</w:t>
      </w:r>
      <w:r>
        <w:rPr>
          <w:rFonts w:hint="eastAsia" w:ascii="黑体" w:hAnsi="黑体" w:eastAsia="黑体"/>
          <w:sz w:val="32"/>
          <w:szCs w:val="32"/>
        </w:rPr>
        <w:t>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Arial"/>
          <w:sz w:val="32"/>
          <w:szCs w:val="32"/>
          <w:lang w:eastAsia="zh-CN"/>
        </w:rPr>
      </w:pPr>
      <w:r>
        <w:rPr>
          <w:rFonts w:hint="eastAsia" w:ascii="仿宋" w:hAnsi="仿宋" w:eastAsia="仿宋" w:cs="Arial"/>
          <w:sz w:val="32"/>
          <w:szCs w:val="32"/>
          <w:lang w:eastAsia="zh-CN"/>
        </w:rPr>
        <w:t>自愿</w:t>
      </w:r>
      <w:r>
        <w:rPr>
          <w:rFonts w:hint="eastAsia" w:ascii="仿宋" w:hAnsi="仿宋" w:eastAsia="仿宋" w:cs="Arial"/>
          <w:sz w:val="32"/>
          <w:szCs w:val="32"/>
        </w:rPr>
        <w:t>申报人员必须具备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</w:rPr>
        <w:t>黑龙江省技工教师系列初、中级专业技术职务聘任条件和中、高级专业技术职务任职资格评审标准（试行）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》中</w:t>
      </w:r>
      <w:r>
        <w:rPr>
          <w:rFonts w:hint="eastAsia" w:ascii="仿宋" w:hAnsi="仿宋" w:eastAsia="仿宋" w:cs="Arial"/>
          <w:sz w:val="32"/>
          <w:szCs w:val="32"/>
        </w:rPr>
        <w:t>相应职务所要求的申报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资格和评审</w:t>
      </w:r>
      <w:r>
        <w:rPr>
          <w:rFonts w:hint="eastAsia" w:ascii="仿宋" w:hAnsi="仿宋" w:eastAsia="仿宋" w:cs="Arial"/>
          <w:sz w:val="32"/>
          <w:szCs w:val="32"/>
        </w:rPr>
        <w:t>条件</w:t>
      </w:r>
      <w:r>
        <w:rPr>
          <w:rFonts w:hint="eastAsia" w:ascii="仿宋" w:hAnsi="仿宋" w:eastAsia="仿宋" w:cs="Arial"/>
          <w:sz w:val="32"/>
          <w:szCs w:val="32"/>
          <w:lang w:eastAsia="zh-CN"/>
        </w:rPr>
        <w:t>，并按照评审标准准备佐证材料。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三、同级</w:t>
      </w:r>
      <w:r>
        <w:rPr>
          <w:rFonts w:hint="eastAsia" w:ascii="黑体" w:hAnsi="黑体" w:eastAsia="黑体"/>
          <w:sz w:val="32"/>
          <w:szCs w:val="32"/>
        </w:rPr>
        <w:t>改职申报</w:t>
      </w:r>
      <w:r>
        <w:rPr>
          <w:rFonts w:hint="eastAsia" w:ascii="黑体" w:hAnsi="黑体" w:eastAsia="黑体"/>
          <w:sz w:val="32"/>
          <w:szCs w:val="32"/>
          <w:lang w:eastAsia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登录个人职称平台，填写、下载、打印《专业技术职务任职资格评审表》，同级改职人员在评审表右上方注明“改职”字样，并填报《同级改职人员审查表》（此表在“黑人社函【2018】389号”中，附件2自行下载）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（二）提供《个人信息确认表》，需个人签字。待履行全部申报程序无异议后由学院盖章确认。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（三）申报人员在提供学历时，须提供有效的毕业证、学位证及相关材料。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）相应教师资格证。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）聘任现专业技术职务的工资兑现审批表。（此项单位提供）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（七）任</w:t>
      </w:r>
      <w:r>
        <w:rPr>
          <w:rFonts w:hint="eastAsia" w:ascii="仿宋" w:hAnsi="仿宋" w:eastAsia="仿宋"/>
          <w:sz w:val="32"/>
          <w:szCs w:val="32"/>
          <w:lang w:eastAsia="zh-CN"/>
        </w:rPr>
        <w:t>现</w:t>
      </w:r>
      <w:r>
        <w:rPr>
          <w:rFonts w:hint="eastAsia" w:ascii="仿宋" w:hAnsi="仿宋" w:eastAsia="仿宋"/>
          <w:sz w:val="32"/>
          <w:szCs w:val="32"/>
        </w:rPr>
        <w:t>职资格证书和《专业技术职务任职资格评审表》（评审表单位提供）。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（八）《黑龙江省技工教师系列初、中级专业技术职务聘任条件和中、高级专业技术职务任职资格评审标准（试行）》中规定的授课情况证明材料、有效论文、论著、成果证书、业绩材料等。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（九）上述材料均需原件，并装订成册。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第一册,申报资格材料：材料中第1-7项，需在封面处粘贴《申报资格材料目录》；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第二册，评审条件材料：材料中第8项，需在封面处粘贴《评审条件材料目录》。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四、申报</w:t>
      </w:r>
      <w:r>
        <w:rPr>
          <w:rFonts w:hint="eastAsia" w:ascii="黑体" w:hAnsi="黑体" w:eastAsia="黑体"/>
          <w:sz w:val="32"/>
          <w:szCs w:val="32"/>
          <w:lang w:eastAsia="zh-CN"/>
        </w:rPr>
        <w:t>评审</w:t>
      </w:r>
      <w:r>
        <w:rPr>
          <w:rFonts w:hint="eastAsia" w:ascii="黑体" w:hAnsi="黑体" w:eastAsia="黑体"/>
          <w:sz w:val="32"/>
          <w:szCs w:val="32"/>
        </w:rPr>
        <w:t>工作程序及时间安排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（一）报名、初审、审核（12月11日至13日），符合条件的人员自愿申报，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自愿申报副高级以下专业技术职务同级改职评审申请表</w:t>
      </w:r>
      <w:r>
        <w:rPr>
          <w:rFonts w:hint="eastAsia" w:ascii="仿宋" w:hAnsi="仿宋" w:eastAsia="仿宋"/>
          <w:sz w:val="32"/>
          <w:szCs w:val="32"/>
        </w:rPr>
        <w:t>（到人事处领取），所在部门初审推荐；教务处、实训处、督导处、学生处、人事处、纪检等相关职能部门按照《黑龙江省技工教师系列初、中级专业技术职务聘任条件和中、高级专业技术职务任职资格评审标准（试行）》中的初、中、高讲师评审条件和初、中、高实习指导教师评审条件所列项目出具审核认定意见，各职能部门负责人签字并加盖公章；申报人员将材料报送人事处。人事处办公地点：2号教学楼834室，办公电话：85911102，联系人：孙丽娜、马锐，手机：13936116188、13796085399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（二）评审认定（12月14日），人事处将申报材料报送学院申报推荐委员会评审。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（三）业绩成果展示（12月17日），人事处将评审后的申报人员业绩成果在图书馆1楼公开展示1天。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（四）投票（12月18日），申报推荐委员会对公开展示无异议的申报人员进行无记名投票，同意票数须达到总票数三分之二以上，可拟定为同级改职人员。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（五）结果公示（12月19日至21日），将同级改职人员名单予以公示。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（六）审批上报（12月24日），公示无异议的同级改职人员，由申报推荐工作领导小组审批后上报省人社厅备案。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五、有关要求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一）严格执行申报材料和学术造假“一票否决”。对学历、经历、岗位聘用、申报渠道、业绩成果、能力水平等申报材料造假抄袭的，一律取消当年评审资格；对通过弄虚作假、暗箱操作等违纪违规行为取得的职称，一律予以撤销。造成严重后果的，追究当事人及相关职能部门负责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二）根据省厅有关部门指导意见，在核定申报人员的课时量的时候，如有在职高、中专、电大等非技工序列任教的课时不能算技工系列职称任职课时，授课情况佐证材料必须是技工教学授课材料，否则按材料造假情况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（三）本通知中提到的所有文件，均可在学院官方网站公告通知中查询下载。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contextualSpacing/>
        <w:textAlignment w:val="auto"/>
        <w:outlineLvl w:val="9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哈尔滨技师学院（哈尔滨劳动技师学院）自愿申报副高级以下专业技术职务同级改职评审申请表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contextualSpacing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同级改职人员审查表</w:t>
      </w:r>
    </w:p>
    <w:p>
      <w:pPr>
        <w:widowControl w:val="0"/>
        <w:spacing w:after="0" w:line="56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spacing w:after="0" w:line="560" w:lineRule="exact"/>
        <w:ind w:firstLine="640" w:firstLineChars="200"/>
        <w:contextualSpacing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 w:val="0"/>
        <w:spacing w:after="0" w:line="560" w:lineRule="exact"/>
        <w:ind w:firstLine="640" w:firstLineChars="200"/>
        <w:contextualSpacing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哈尔滨技师学院（哈尔滨劳动技师学院）</w:t>
      </w:r>
    </w:p>
    <w:p>
      <w:pPr>
        <w:widowControl w:val="0"/>
        <w:spacing w:after="0" w:line="560" w:lineRule="exact"/>
        <w:ind w:firstLine="640" w:firstLineChars="200"/>
        <w:contextualSpacing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2018年12月10日</w:t>
      </w: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spacing w:line="480" w:lineRule="exact"/>
        <w:contextualSpacing/>
      </w:pPr>
    </w:p>
    <w:p>
      <w:pPr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附件1</w:t>
      </w:r>
    </w:p>
    <w:p>
      <w:pPr>
        <w:spacing w:line="3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哈尔滨技师学院（哈尔滨劳动技师学院）</w:t>
      </w:r>
    </w:p>
    <w:p>
      <w:pPr>
        <w:spacing w:line="3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自愿申报副高级以下专业技术职务同级改职评审申请表</w:t>
      </w:r>
    </w:p>
    <w:tbl>
      <w:tblPr>
        <w:tblStyle w:val="8"/>
        <w:tblpPr w:leftFromText="180" w:rightFromText="180" w:vertAnchor="text" w:tblpX="10217" w:tblpY="500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>
            <w:pPr>
              <w:widowControl w:val="0"/>
              <w:wordWrap w:val="0"/>
              <w:jc w:val="righ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</w:tbl>
    <w:p>
      <w:pPr>
        <w:wordWrap w:val="0"/>
        <w:jc w:val="both"/>
        <w:rPr>
          <w:rFonts w:ascii="仿宋_GB2312" w:hAnsi="华文仿宋" w:eastAsia="仿宋_GB2312" w:cs="Times New Roman"/>
          <w:sz w:val="28"/>
          <w:szCs w:val="28"/>
        </w:rPr>
      </w:pPr>
      <w:r>
        <w:rPr>
          <w:rFonts w:hint="eastAsia" w:ascii="仿宋_GB2312" w:hAnsi="华文仿宋" w:eastAsia="仿宋_GB2312" w:cs="Times New Roman"/>
          <w:sz w:val="28"/>
          <w:szCs w:val="28"/>
        </w:rPr>
        <w:t xml:space="preserve">申报级别：                 </w:t>
      </w:r>
    </w:p>
    <w:tbl>
      <w:tblPr>
        <w:tblStyle w:val="8"/>
        <w:tblW w:w="978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604"/>
        <w:gridCol w:w="193"/>
        <w:gridCol w:w="99"/>
        <w:gridCol w:w="115"/>
        <w:gridCol w:w="166"/>
        <w:gridCol w:w="200"/>
        <w:gridCol w:w="469"/>
        <w:gridCol w:w="130"/>
        <w:gridCol w:w="185"/>
        <w:gridCol w:w="283"/>
        <w:gridCol w:w="432"/>
        <w:gridCol w:w="584"/>
        <w:gridCol w:w="122"/>
        <w:gridCol w:w="138"/>
        <w:gridCol w:w="357"/>
        <w:gridCol w:w="68"/>
        <w:gridCol w:w="215"/>
        <w:gridCol w:w="15"/>
        <w:gridCol w:w="236"/>
        <w:gridCol w:w="244"/>
        <w:gridCol w:w="145"/>
        <w:gridCol w:w="519"/>
        <w:gridCol w:w="43"/>
        <w:gridCol w:w="549"/>
        <w:gridCol w:w="242"/>
        <w:gridCol w:w="251"/>
        <w:gridCol w:w="450"/>
        <w:gridCol w:w="143"/>
        <w:gridCol w:w="86"/>
        <w:gridCol w:w="122"/>
        <w:gridCol w:w="188"/>
        <w:gridCol w:w="384"/>
        <w:gridCol w:w="120"/>
        <w:gridCol w:w="396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身份证号</w:t>
            </w:r>
          </w:p>
        </w:tc>
        <w:tc>
          <w:tcPr>
            <w:tcW w:w="336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1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参加工作时间</w:t>
            </w:r>
          </w:p>
        </w:tc>
        <w:tc>
          <w:tcPr>
            <w:tcW w:w="15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所在部门、现岗位</w:t>
            </w:r>
          </w:p>
        </w:tc>
        <w:tc>
          <w:tcPr>
            <w:tcW w:w="17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从事专业</w:t>
            </w:r>
          </w:p>
        </w:tc>
        <w:tc>
          <w:tcPr>
            <w:tcW w:w="1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最高学历、学位</w:t>
            </w:r>
          </w:p>
        </w:tc>
        <w:tc>
          <w:tcPr>
            <w:tcW w:w="1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28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毕业院校</w:t>
            </w:r>
          </w:p>
        </w:tc>
        <w:tc>
          <w:tcPr>
            <w:tcW w:w="2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8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学位</w:t>
            </w:r>
          </w:p>
        </w:tc>
        <w:tc>
          <w:tcPr>
            <w:tcW w:w="28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现职称</w:t>
            </w:r>
          </w:p>
        </w:tc>
        <w:tc>
          <w:tcPr>
            <w:tcW w:w="16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4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取得时间</w:t>
            </w:r>
          </w:p>
        </w:tc>
        <w:tc>
          <w:tcPr>
            <w:tcW w:w="12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4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hint="eastAsia" w:ascii="仿宋_GB2312" w:hAnsi="华文仿宋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拟改职称</w:t>
            </w:r>
            <w:r>
              <w:rPr>
                <w:rFonts w:hint="eastAsia" w:ascii="仿宋_GB2312" w:hAnsi="华文仿宋" w:eastAsia="仿宋_GB2312" w:cs="Times New Roman"/>
                <w:sz w:val="28"/>
                <w:szCs w:val="28"/>
                <w:lang w:eastAsia="zh-CN"/>
              </w:rPr>
              <w:t>、专业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技能等级证</w:t>
            </w: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原职称、专业</w:t>
            </w:r>
          </w:p>
        </w:tc>
        <w:tc>
          <w:tcPr>
            <w:tcW w:w="42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是否具备教师资格证</w:t>
            </w:r>
          </w:p>
        </w:tc>
        <w:tc>
          <w:tcPr>
            <w:tcW w:w="14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1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从事班主任工作年限</w:t>
            </w: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6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从事教育教学工作年限</w:t>
            </w:r>
          </w:p>
        </w:tc>
        <w:tc>
          <w:tcPr>
            <w:tcW w:w="1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学术成果是否造假</w:t>
            </w:r>
          </w:p>
        </w:tc>
        <w:tc>
          <w:tcPr>
            <w:tcW w:w="8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7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是否造成重大责任事故</w:t>
            </w:r>
          </w:p>
        </w:tc>
        <w:tc>
          <w:tcPr>
            <w:tcW w:w="102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是否受到党纪、政纪处分</w:t>
            </w:r>
          </w:p>
        </w:tc>
        <w:tc>
          <w:tcPr>
            <w:tcW w:w="98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受聘年限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申</w:t>
            </w:r>
          </w:p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请</w:t>
            </w:r>
          </w:p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理</w:t>
            </w:r>
          </w:p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由</w:t>
            </w:r>
          </w:p>
        </w:tc>
        <w:tc>
          <w:tcPr>
            <w:tcW w:w="28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担任课程及课时完成情况</w:t>
            </w:r>
          </w:p>
        </w:tc>
        <w:tc>
          <w:tcPr>
            <w:tcW w:w="579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856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符合评审条件条款</w:t>
            </w:r>
          </w:p>
        </w:tc>
        <w:tc>
          <w:tcPr>
            <w:tcW w:w="413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300" w:lineRule="exact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856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413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300" w:lineRule="exact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856" w:type="dxa"/>
            <w:gridSpan w:val="11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413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00" w:lineRule="exact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 w:line="300" w:lineRule="exact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center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spacing w:after="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 xml:space="preserve">任现职以来近三年度考核结果：                   </w:t>
            </w:r>
          </w:p>
          <w:p>
            <w:pPr>
              <w:widowControl w:val="0"/>
              <w:spacing w:after="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 xml:space="preserve">近三年师德考核是否合格：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初审推荐</w:t>
            </w:r>
          </w:p>
          <w:p>
            <w:pPr>
              <w:widowControl w:val="0"/>
              <w:spacing w:after="0"/>
              <w:ind w:right="560" w:firstLine="1680" w:firstLineChars="60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部</w:t>
            </w:r>
          </w:p>
        </w:tc>
        <w:tc>
          <w:tcPr>
            <w:tcW w:w="34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ind w:firstLine="560" w:firstLineChars="20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部门负责人签字：</w:t>
            </w:r>
          </w:p>
          <w:p>
            <w:pPr>
              <w:widowControl w:val="0"/>
              <w:spacing w:after="0"/>
              <w:ind w:firstLine="1400" w:firstLineChars="50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ind w:right="560" w:firstLine="1120" w:firstLineChars="40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盖章</w:t>
            </w:r>
          </w:p>
          <w:p>
            <w:pPr>
              <w:widowControl w:val="0"/>
              <w:spacing w:after="0"/>
              <w:ind w:right="560" w:firstLine="840" w:firstLineChars="30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ind w:right="560" w:firstLine="840" w:firstLineChars="30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年  月 日</w:t>
            </w:r>
          </w:p>
        </w:tc>
        <w:tc>
          <w:tcPr>
            <w:tcW w:w="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wordWrap w:val="0"/>
              <w:spacing w:after="0"/>
              <w:jc w:val="righ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审</w:t>
            </w:r>
          </w:p>
          <w:p>
            <w:pPr>
              <w:widowControl w:val="0"/>
              <w:wordWrap w:val="0"/>
              <w:spacing w:after="0"/>
              <w:jc w:val="righ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after="0"/>
              <w:jc w:val="righ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after="0"/>
              <w:jc w:val="righ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核</w:t>
            </w:r>
          </w:p>
        </w:tc>
        <w:tc>
          <w:tcPr>
            <w:tcW w:w="29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wordWrap w:val="0"/>
              <w:spacing w:after="0"/>
              <w:jc w:val="both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ind w:right="56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人事处处长签字</w:t>
            </w:r>
          </w:p>
          <w:p>
            <w:pPr>
              <w:widowControl w:val="0"/>
              <w:spacing w:after="0"/>
              <w:ind w:right="56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ind w:right="56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ind w:right="560" w:firstLine="560" w:firstLineChars="20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年  月  日</w:t>
            </w:r>
          </w:p>
          <w:p>
            <w:pPr>
              <w:widowControl w:val="0"/>
              <w:wordWrap w:val="0"/>
              <w:spacing w:after="0"/>
              <w:ind w:right="420"/>
              <w:jc w:val="righ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wordWrap w:val="0"/>
              <w:spacing w:after="0"/>
              <w:jc w:val="righ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</w:tc>
        <w:tc>
          <w:tcPr>
            <w:tcW w:w="2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>申请人签字：</w:t>
            </w:r>
          </w:p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</w:p>
          <w:p>
            <w:pPr>
              <w:widowControl w:val="0"/>
              <w:spacing w:after="0"/>
              <w:jc w:val="left"/>
              <w:rPr>
                <w:rFonts w:ascii="仿宋_GB2312" w:hAnsi="华文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Times New Roman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220" w:lineRule="atLeast"/>
      </w:pPr>
      <w:r>
        <w:rPr>
          <w:rFonts w:hint="eastAsia"/>
        </w:rPr>
        <w:t>注：学术成果是否造假、是否造成重大责任事故到教学督导处认定；是否受到党纪、政纪处分到纪检监察处认定。</w:t>
      </w:r>
    </w:p>
    <w:p>
      <w:pPr>
        <w:spacing w:line="560" w:lineRule="atLeast"/>
        <w:rPr>
          <w:rFonts w:hint="eastAsia"/>
          <w:sz w:val="32"/>
        </w:rPr>
      </w:pPr>
      <w:r>
        <w:rPr>
          <w:rFonts w:hint="eastAsia"/>
          <w:sz w:val="32"/>
        </w:rPr>
        <w:t xml:space="preserve">附件 </w:t>
      </w:r>
      <w:r>
        <w:rPr>
          <w:rFonts w:hint="eastAsia"/>
          <w:sz w:val="32"/>
          <w:lang w:val="en-US" w:eastAsia="zh-CN"/>
        </w:rPr>
        <w:t>2</w:t>
      </w:r>
    </w:p>
    <w:p>
      <w:pPr>
        <w:jc w:val="center"/>
      </w:pPr>
      <w:r>
        <w:rPr>
          <w:rFonts w:hint="eastAsia"/>
          <w:b/>
          <w:sz w:val="36"/>
          <w:szCs w:val="36"/>
        </w:rPr>
        <w:t>同级改职人员审查表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0"/>
        <w:gridCol w:w="900"/>
        <w:gridCol w:w="540"/>
        <w:gridCol w:w="360"/>
        <w:gridCol w:w="180"/>
        <w:gridCol w:w="360"/>
        <w:gridCol w:w="1080"/>
        <w:gridCol w:w="360"/>
        <w:gridCol w:w="1080"/>
        <w:gridCol w:w="180"/>
        <w:gridCol w:w="360"/>
        <w:gridCol w:w="72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出生年月</w:t>
            </w:r>
          </w:p>
        </w:tc>
        <w:tc>
          <w:tcPr>
            <w:tcW w:w="2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最高学历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毕(肄)业时间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毕业学校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专业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文化程度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现技术职称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授予时间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现聘技术职务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聘任时间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原工作单位及岗位</w:t>
            </w:r>
          </w:p>
        </w:tc>
        <w:tc>
          <w:tcPr>
            <w:tcW w:w="5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现工作单位及岗位</w:t>
            </w:r>
          </w:p>
        </w:tc>
        <w:tc>
          <w:tcPr>
            <w:tcW w:w="5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kern w:val="0"/>
                <w:sz w:val="28"/>
                <w:szCs w:val="28"/>
              </w:rPr>
              <w:t>拟评技术职称</w:t>
            </w:r>
          </w:p>
        </w:tc>
        <w:tc>
          <w:tcPr>
            <w:tcW w:w="5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改职理由</w:t>
            </w:r>
          </w:p>
        </w:tc>
        <w:tc>
          <w:tcPr>
            <w:tcW w:w="7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华文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基层单位意见</w:t>
            </w:r>
          </w:p>
        </w:tc>
        <w:tc>
          <w:tcPr>
            <w:tcW w:w="7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wordWrap w:val="0"/>
              <w:ind w:right="420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盖  章 </w:t>
            </w:r>
          </w:p>
          <w:p>
            <w:pPr>
              <w:wordWrap w:val="0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市地省直主管部门意见</w:t>
            </w:r>
          </w:p>
        </w:tc>
        <w:tc>
          <w:tcPr>
            <w:tcW w:w="7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</w:p>
          <w:p>
            <w:pPr>
              <w:wordWrap w:val="0"/>
              <w:ind w:right="560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                                        盖  章 </w:t>
            </w:r>
          </w:p>
          <w:p>
            <w:pPr>
              <w:wordWrap w:val="0"/>
              <w:jc w:val="righ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年   月   日   </w:t>
            </w:r>
          </w:p>
        </w:tc>
      </w:tr>
    </w:tbl>
    <w:p>
      <w:pPr>
        <w:spacing w:line="480" w:lineRule="exact"/>
        <w:contextualSpacing/>
      </w:pPr>
    </w:p>
    <w:sectPr>
      <w:pgSz w:w="11906" w:h="16838"/>
      <w:pgMar w:top="1383" w:right="1746" w:bottom="1383" w:left="1746" w:header="708" w:footer="709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7B23"/>
    <w:rsid w:val="000A000B"/>
    <w:rsid w:val="000A5AFF"/>
    <w:rsid w:val="000C342E"/>
    <w:rsid w:val="00202287"/>
    <w:rsid w:val="00226EB9"/>
    <w:rsid w:val="00281260"/>
    <w:rsid w:val="003047C0"/>
    <w:rsid w:val="00323B43"/>
    <w:rsid w:val="003D37D8"/>
    <w:rsid w:val="00426133"/>
    <w:rsid w:val="004358AB"/>
    <w:rsid w:val="00517863"/>
    <w:rsid w:val="00524393"/>
    <w:rsid w:val="0069578D"/>
    <w:rsid w:val="006E12AC"/>
    <w:rsid w:val="006F71E2"/>
    <w:rsid w:val="007277D6"/>
    <w:rsid w:val="008B7726"/>
    <w:rsid w:val="009121AF"/>
    <w:rsid w:val="00932E1C"/>
    <w:rsid w:val="00992BBA"/>
    <w:rsid w:val="00B65D7E"/>
    <w:rsid w:val="00B87CC3"/>
    <w:rsid w:val="00BA381E"/>
    <w:rsid w:val="00BE2CBD"/>
    <w:rsid w:val="00C1345A"/>
    <w:rsid w:val="00C558D7"/>
    <w:rsid w:val="00C8794D"/>
    <w:rsid w:val="00D31D50"/>
    <w:rsid w:val="00DE5CDE"/>
    <w:rsid w:val="00E5692E"/>
    <w:rsid w:val="00EA15DC"/>
    <w:rsid w:val="00F345FF"/>
    <w:rsid w:val="00F952F2"/>
    <w:rsid w:val="01BC0859"/>
    <w:rsid w:val="083A1C73"/>
    <w:rsid w:val="09B16547"/>
    <w:rsid w:val="12D932D7"/>
    <w:rsid w:val="1E175D88"/>
    <w:rsid w:val="2328214E"/>
    <w:rsid w:val="2C4C2B4E"/>
    <w:rsid w:val="30DB2C7E"/>
    <w:rsid w:val="3B8503F9"/>
    <w:rsid w:val="41C25C92"/>
    <w:rsid w:val="42AD3AE8"/>
    <w:rsid w:val="49663B9A"/>
    <w:rsid w:val="4F21106E"/>
    <w:rsid w:val="502874B1"/>
    <w:rsid w:val="51DE6BD6"/>
    <w:rsid w:val="616801DE"/>
    <w:rsid w:val="72B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semiHidden/>
    <w:unhideWhenUsed/>
    <w:uiPriority w:val="99"/>
    <w:rPr>
      <w:color w:val="3F88BF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330</Words>
  <Characters>1886</Characters>
  <Lines>15</Lines>
  <Paragraphs>4</Paragraphs>
  <TotalTime>118</TotalTime>
  <ScaleCrop>false</ScaleCrop>
  <LinksUpToDate>false</LinksUpToDate>
  <CharactersWithSpaces>2212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2018-12-11T06:23:03Z</cp:lastPrinted>
  <dcterms:modified xsi:type="dcterms:W3CDTF">2018-12-11T06:48:47Z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